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TECHNICAL FEATURES CEL-1675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  <w:t xml:space="preserve">3-section treatment table.</w:t>
        <w:br/>
        <w:t xml:space="preserve">Adjustable backrest to +75º with gas springs, leg section adjustable manually to -90º.</w:t>
        <w:br/>
        <w:t xml:space="preserve">UPHOLSTERY: wood fiberboard covered with 50 mm foam, density 30 kg, finished with flame-retardant, antibacterial artificial leather.</w:t>
        <w:br/>
        <w:t xml:space="preserve">STRUCTURE: steel tube with epoxy finish.</w:t>
        <w:br/>
        <w:t xml:space="preserve">Base with 4 retractable wheels of 75 mm diameter, with locking system and 1 leveling foot. (NOT suitable for transporting people).</w:t>
        <w:br/>
        <w:t xml:space="preserve">Rotating and height-adjustable leg sections.</w:t>
        <w:br/>
        <w:t xml:space="preserve">Roll holder.</w:t>
        <w:br/>
        <w:t xml:space="preserve">Stainless steel waste drawer.</w:t>
        <w:br/>
        <w:t xml:space="preserve">APPROXIMATE DIMENSIONS:</w:t>
        <w:br/>
        <w:t xml:space="preserve">Length 2000 mm, width 650 mm, width with leg sections 1115 mm.</w:t>
        <w:br/>
        <w:t xml:space="preserve">Height adjustable (600 to 965 mm) via electric motor with foot control.</w:t>
        <w:br/>
        <w:t xml:space="preserve">Recommended maximum supported weight: 170 kg.</w:t>
        <w:br/>
        <w:t xml:space="preserve">Weight of the table: 80 kg.</w:t>
        <w:br/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  <w:r>
        <w:object w:dxaOrig="1238" w:dyaOrig="734">
          <v:rect xmlns:o="urn:schemas-microsoft-com:office:office" xmlns:v="urn:schemas-microsoft-com:vml" id="rectole0000000001" style="width:61.900000pt;height:36.7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object w:dxaOrig="6603" w:dyaOrig="5889">
          <v:rect xmlns:o="urn:schemas-microsoft-com:office:office" xmlns:v="urn:schemas-microsoft-com:vml" id="rectole0000000002" style="width:330.150000pt;height:294.4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widowControl w:val="false"/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widowControl w:val="false"/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media/image2.wmf" Id="docRId5" Type="http://schemas.openxmlformats.org/officeDocument/2006/relationships/image" /><Relationship Target="styles.xml" Id="docRId7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embeddings/oleObject2.bin" Id="docRId4" Type="http://schemas.openxmlformats.org/officeDocument/2006/relationships/oleObject" /><Relationship Target="numbering.xml" Id="docRId6" Type="http://schemas.openxmlformats.org/officeDocument/2006/relationships/numbering" /></Relationships>
</file>