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200" w:line="276"/>
        <w:ind w:right="0" w:left="0" w:firstLine="0"/>
        <w:jc w:val="center"/>
        <w:rPr>
          <w:rFonts w:ascii="Calibri" w:hAnsi="Calibri" w:cs="Calibri" w:eastAsia="Calibri"/>
          <w:color w:val="auto"/>
          <w:spacing w:val="0"/>
          <w:position w:val="0"/>
          <w:sz w:val="22"/>
          <w:shd w:fill="auto" w:val="clear"/>
        </w:rPr>
      </w:pPr>
      <w:r>
        <w:object w:dxaOrig="4520" w:dyaOrig="1327">
          <v:rect xmlns:o="urn:schemas-microsoft-com:office:office" xmlns:v="urn:schemas-microsoft-com:vml" id="rectole0000000000" style="width:226.000000pt;height:66.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INFORMACIÓN IMPORTANTE</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lo relacionado con pedidos o consultas se realizará mediante correo electrónico, así se evitarán malos entendidos y todo quedará perfectamente reflejado.</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precios del transporte están calculados para una unidad. Si el pedido es de más cantidad, el precio por unidad es menor, consúltenos.</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atender cualquier reclamación de avería o rotura es imprescindible recibirla vía correo electrónico y debe contener lo siguiente:</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1º Fotografía de la factura de compra</w:t>
        <w:br/>
        <w:t xml:space="preserve">2º Fotografía (en el caso de avería de una camilla) del número de lote ubicada en la estructura de dicha camilla.</w:t>
        <w:br/>
        <w:t xml:space="preserve">3º Fotografía completa del producto.</w:t>
        <w:br/>
        <w:t xml:space="preserve">4º Distintas fotografías donde se pueda apreciar correctamente la avería o rotura.</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TODOS ESTOS REQUISITOS NO SE PODRÁ TRAMITAR DICHA RECLAMACIÓN.</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colores originales pueden variar de tonalidad respecto al color de la fotografía.</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nos hacemos responsables de los desperfectos ocasionados en la polipiel ya que nuestra experiencia nos confirma que siempre es debido a un mal uso a la hora de la limpieza, utilizar cremas o lociones abrasivas así como al acercar una fuente de calor por lo que recomendamos proteger dicha polipiel y limpiar con un trapo húmedo y enjabonado. Usar solo jabón neutro, enjuagar con agua limpia. No usar disolventes químicos, sprays abrillantadores, ni ningún producto abrasivo.</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Ciertas prendas de vestir y tintes de accesorios (como los utilizados en los pantalones vaqueros) pueden migrar a superficies más claras. Este fenómeno se ve incrementado por los efectos de la humedad y la temperatura; es irreversible. RCH MOBILIARIO, no asumirá ninguna responsabilidad ante reclamos de transferencia de color originados por contaminantes externos ni ante reclamos de manchas permanentes causadas por este fenómeno.</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se aceptará ninguna devolución de mercancía sin nuestra previa conformidad.</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nuestros envíos incluyen un seguro para cualquier desperfecto ocasionado por el transporte, ROGAMOS REVISEN LA MERCANCÍA Y SEÑALEN INEXCUSABLEMENTE EN EL ALBARAN DE ENTREGA DE LA AGENCIA LOS MISMOS. ESTAS INCIDENCIAS DEBERAN SERNOS NOTIFICADAS VIA CORREO ELECTRÓNICO EN UN PLAZO DE 24H. SIN ESTE REQUISITO NO NOS HAREMOS CARGO DE LOS GASTOS QUE SE OCASIONEN.</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 La mercancía para bultos grandes se entregará por parte de la agencia a pie de calle. En el caso de que el cliente desee la subida de la mercancía a un piso deberá solicitar mozo, dependiendo el coste del bulto, altura del piso y población (consulten precios)</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reservamos el derecho de alterar o anular cualquiera de nuestros modelos sin previo aviso.</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portes de esta tarifa son válidos solo para la península. Solo es para España. </w:t>
      </w:r>
    </w:p>
    <w:p>
      <w:pPr>
        <w:widowControl w:val="false"/>
        <w:suppressAutoHyphens w:val="true"/>
        <w:spacing w:before="0" w:after="57"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tarifa anula todas las anteriores.</w:t>
      </w:r>
    </w:p>
    <w:p>
      <w:pPr>
        <w:widowControl w:val="false"/>
        <w:suppressAutoHyphens w:val="true"/>
        <w:spacing w:before="0" w:after="200" w:line="276"/>
        <w:ind w:right="0" w:left="0" w:firstLine="0"/>
        <w:jc w:val="both"/>
        <w:rPr>
          <w:rFonts w:ascii="Calibri" w:hAnsi="Calibri" w:cs="Calibri" w:eastAsia="Calibri"/>
          <w:color w:val="auto"/>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