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CHI-1790</w:t>
      </w:r>
      <w:r>
        <w:rPr>
          <w:lang w:val="es-ES"/>
        </w:rPr>
        <w:br/>
        <w:t>One-section transfer couch.</w:t>
        <w:br/>
        <w:t>Mattress length 1900, width 600, height 100 mm.</w:t>
        <w:br/>
        <w:t>Mattress color blue.</w:t>
        <w:br/>
        <w:t>Guardrails in epoxy-painted steel tube.</w:t>
        <w:br/>
        <w:t>4 wheels with a diameter of 150 mm, with directional wheel.</w:t>
        <w:br/>
        <w:t>IV pole, clothing holder, oxygen bottle holder.</w:t>
        <w:br/>
        <w:t>STRUCTURE: epoxy-painted steel tube.</w:t>
        <w:br/>
        <w:t>APPROXIMATE DIMENSIONS:</w:t>
        <w:br/>
        <w:t>Length 2040, width 600, width with guardrails 738 mm.</w:t>
        <w:br/>
        <w:t>Adjustable height (640 to 1125 mm).</w:t>
        <w:br/>
        <w:t>Net weight 95 kg.</w:t>
        <w:br/>
        <w:t>Maximum advisable supported weight 170 kg.</w:t>
        <w:br/>
        <w:t>HEIGHT ADJUSTMENT: via hydraulic pump.</w:t>
        <w:br/>
        <w:t xml:space="preserve">Couch warranty 5 years, hydraulic pump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1033145</wp:posOffset>
            </wp:positionH>
            <wp:positionV relativeFrom="paragraph">
              <wp:posOffset>408940</wp:posOffset>
            </wp:positionV>
            <wp:extent cx="4791075" cy="235013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84</Words>
  <Characters>488</Characters>
  <CharactersWithSpaces>572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2024-09-24T10:55:20Z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6EA6BC7069074AB88034F6A6756FE345_12</vt:lpwstr>
  </property>
  <property fmtid="{D5CDD505-2E9C-101B-9397-08002B2CF9AE}" pid="3" name="KSOProductBuildVer">
    <vt:lpwstr>3082-12.2.0.17119</vt:lpwstr>
  </property>
</Properties>
</file>