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TECHNICAL FEATURES CFI-1600, 1605, 1635, 1636</w:t>
      </w:r>
      <w:r>
        <w:rPr>
          <w:lang w:val="es-ES"/>
        </w:rPr>
        <w:br/>
        <w:t>Two sections.</w:t>
        <w:br/>
        <w:t>CFI-1605, CFI-1636 with facial opening and plug.</w:t>
        <w:br/>
        <w:t>CFI-1600, CFI-1635 without facial opening.</w:t>
        <w:br/>
        <w:t>Backrest adjustable to +45° via rod.</w:t>
        <w:br/>
        <w:t>UPHOLSTERY: wood fiber board covered with 50 mm foam, density 30 kg, upholstered with fire-retardant, antibacterial synthetic leather.</w:t>
        <w:br/>
        <w:t>STRUCTURE: epoxy-coated steel tube.</w:t>
        <w:br/>
        <w:t>APPROXIMATE DIMENSIONS:</w:t>
        <w:br/>
        <w:t>Length 1850 mm, width 600 mm.</w:t>
        <w:br/>
        <w:t>CFI-1635, CFI-1636 fixed height, 750 mm.</w:t>
        <w:br/>
        <w:t>CFI-1600, CFI-1605 fixed height, 600 mm.</w:t>
        <w:br/>
        <w:t>Recommended maximum supported weight: 130 kg.</w:t>
        <w:br/>
        <w:t>Weight of the table: 24 kg.</w:t>
        <w:br/>
        <w:t>Supplied with detachable legs.</w:t>
        <w:br/>
        <w:t xml:space="preserve">Structure warranty 5 years.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3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1788160</wp:posOffset>
            </wp:positionH>
            <wp:positionV relativeFrom="paragraph">
              <wp:posOffset>13970</wp:posOffset>
            </wp:positionV>
            <wp:extent cx="4133215" cy="1894205"/>
            <wp:effectExtent l="0" t="0" r="0" b="0"/>
            <wp:wrapSquare wrapText="largest"/>
            <wp:docPr id="3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5" cy="1894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>
          <w:rFonts w:ascii="Verdana" w:hAnsi="Verdana"/>
        </w:rPr>
        <w:t> 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LibreOffice/7.6.2.1$Windows_X86_64 LibreOffice_project/56f7684011345957bbf33a7ee678afaf4d2ba333</Application>
  <AppVersion>15.0000</AppVersion>
  <Pages>1</Pages>
  <Words>88</Words>
  <Characters>541</Characters>
  <CharactersWithSpaces>630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2024-09-24T10:33:20Z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FC978C5CA1004B28AD8D1715C468DEA0_13</vt:lpwstr>
  </property>
  <property fmtid="{D5CDD505-2E9C-101B-9397-08002B2CF9AE}" pid="3" name="KSOProductBuildVer">
    <vt:lpwstr>3082-12.2.0.17119</vt:lpwstr>
  </property>
</Properties>
</file>