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CFI-R-1725 ET CFI-R-1726</w:t>
      </w:r>
      <w:r>
        <w:rPr>
          <w:lang w:val="es-ES"/>
        </w:rPr>
        <w:br/>
        <w:t>Table de transfert à 2 corps.</w:t>
        <w:br/>
        <w:t>Dossier réglable par système manuel.</w:t>
        <w:br/>
        <w:t>Lit du matelas en compact phénolique.</w:t>
        <w:br/>
        <w:t>Matelas longueur 190, largeur 60, hauteur 100 mm.</w:t>
        <w:br/>
        <w:t>Matelas couleur bleue.</w:t>
        <w:br/>
        <w:t>4 roues de 100 mm de diamètre, dont 2 avec frein.</w:t>
        <w:br/>
        <w:t>Porte-sérum, panier à linge, support de bouteille d'oxygène.</w:t>
        <w:br/>
        <w:t>CFI-R-1725 Structure et barrières pliantes en tube d'acier AISI 304 poli.</w:t>
        <w:br/>
        <w:t>CFI-R-1726 Structure et barrières pliantes en tube d'acier peint en époxy.</w:t>
        <w:br/>
        <w:t>DIMENSIONS APPROXIMATIVES :</w:t>
        <w:br/>
        <w:t>Longueur 2120, largeur 720, hauteur 780, hauteur avec matelas 880 mm.</w:t>
        <w:br/>
        <w:t>Poids net : 50 kg.</w:t>
        <w:br/>
        <w:t>Poids maximum supporté recommandé : 150 kg.</w:t>
        <w:br/>
        <w:t xml:space="preserve">Garantie de la table 5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2750820</wp:posOffset>
            </wp:positionH>
            <wp:positionV relativeFrom="paragraph">
              <wp:posOffset>323215</wp:posOffset>
            </wp:positionV>
            <wp:extent cx="2856230" cy="219710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106</Words>
  <Characters>574</Characters>
  <CharactersWithSpaces>680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2024-09-24T10:50:37Z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6EA6BC7069074AB88034F6A6756FE345_12</vt:lpwstr>
  </property>
  <property fmtid="{D5CDD505-2E9C-101B-9397-08002B2CF9AE}" pid="3" name="KSOProductBuildVer">
    <vt:lpwstr>3082-12.2.0.17119</vt:lpwstr>
  </property>
</Properties>
</file>