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CARACTÉRISTIQUES TECHNIQUES CFI-1638, 1637, 1612, 1611</w:t>
      </w:r>
      <w:r>
        <w:rPr>
          <w:lang w:val="es-ES"/>
        </w:rPr>
        <w:br/>
        <w:t>Deux sections.</w:t>
        <w:br/>
        <w:t>CFI-1638, CFI-1612 avec ouverture faciale et bouchon.</w:t>
        <w:br/>
        <w:t>CFI-1637, CFI-1611 sans ouverture faciale.</w:t>
        <w:br/>
        <w:t>Dossier réglable à +45° par tige.</w:t>
        <w:br/>
        <w:t>REVÊTEMENT: panneau de fibres de bois recouvert de mousse de 50 mm, densité 30 kg, revêtu de similicuir ignifuge, antibactérien.</w:t>
        <w:br/>
        <w:t>STRUCTURE: tube en acier inoxydable.</w:t>
        <w:br/>
        <w:t>Porte-rouleaux.</w:t>
        <w:br/>
        <w:t>DIMENSIONS APPROXIMATIVES:</w:t>
        <w:br/>
        <w:t>Longueur 1850 mm, largeur 600 mm.</w:t>
        <w:br/>
        <w:t>CFI-1638, CFI-1637 hauteur fixe, 750 mm.</w:t>
        <w:br/>
        <w:t>CFI-1612, CFI-1611 hauteur fixe, 600 mm.</w:t>
        <w:br/>
        <w:t>Poids maximal supporté: 130 kg.</w:t>
        <w:br/>
        <w:t>Poids de la table: 24 kg.</w:t>
        <w:br/>
        <w:t xml:space="preserve">Garantie structure 5 ans.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2179320</wp:posOffset>
            </wp:positionH>
            <wp:positionV relativeFrom="paragraph">
              <wp:posOffset>28575</wp:posOffset>
            </wp:positionV>
            <wp:extent cx="3708400" cy="1872615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LibreOffice/7.6.2.1$Windows_X86_64 LibreOffice_project/56f7684011345957bbf33a7ee678afaf4d2ba333</Application>
  <AppVersion>15.0000</AppVersion>
  <Pages>1</Pages>
  <Words>87</Words>
  <Characters>523</Characters>
  <CharactersWithSpaces>611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2024-09-24T10:34:57Z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FC978C5CA1004B28AD8D1715C468DEA0_13</vt:lpwstr>
  </property>
  <property fmtid="{D5CDD505-2E9C-101B-9397-08002B2CF9AE}" pid="3" name="KSOProductBuildVer">
    <vt:lpwstr>3082-12.2.0.17119</vt:lpwstr>
  </property>
</Properties>
</file>