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CFI-R-1790.B</w:t>
      </w:r>
      <w:r>
        <w:rPr>
          <w:lang w:val="es-ES"/>
        </w:rPr>
        <w:br/>
        <w:t>Camilla de traslados de 1 cuerpo.</w:t>
        <w:br/>
        <w:t>Cabecera regulable mediante resorte de gas.</w:t>
        <w:br/>
        <w:t>Lecho del colchón en compacto fenólico.</w:t>
        <w:br/>
        <w:t>Colchón largo 190, ancho 60, alto 100 mm.</w:t>
        <w:br/>
        <w:t>Colchón color azul.</w:t>
        <w:br/>
        <w:t>Barandillas plegables en tubo de acero inoxidable.</w:t>
        <w:br/>
        <w:t>4 ruedas de 150 mm. de diámetro, con sistema de freno en 1 rueda.</w:t>
        <w:br/>
        <w:t>Soporte suero regulable, cesto para ropa, soporte botella de oxígeno.</w:t>
        <w:br/>
        <w:t>ESTRUCTURA: Tubo de acero pintado en epoxi.</w:t>
        <w:br/>
        <w:t>MEDIDAS APROX:</w:t>
        <w:br/>
        <w:t>Largo 2040, ancho 755, alto con colchón 850 mm.</w:t>
        <w:br/>
        <w:t>Peso neto 81 kg.</w:t>
        <w:br/>
        <w:t>Peso máximo soportado aconsejable: 170 kg.</w:t>
        <w:br/>
        <w:t xml:space="preserve">Garantía camilla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2122170</wp:posOffset>
            </wp:positionH>
            <wp:positionV relativeFrom="paragraph">
              <wp:posOffset>456565</wp:posOffset>
            </wp:positionV>
            <wp:extent cx="3718560" cy="25019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LibreOffice/7.6.2.1$Windows_X86_64 LibreOffice_project/56f7684011345957bbf33a7ee678afaf4d2ba333</Application>
  <AppVersion>15.0000</AppVersion>
  <Pages>1</Pages>
  <Words>95</Words>
  <Characters>502</Characters>
  <CharactersWithSpaces>597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2024-09-24T10:51:24Z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