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u w:val="single"/>
          <w:shd w:fill="auto" w:val="clear"/>
        </w:rPr>
        <w:t xml:space="preserve">CARACTERISTICAS TÉCNICAS CEL-1388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Camilla de 3 cuerpos.</w:t>
        <w:br/>
        <w:t xml:space="preserve">Brazos de extracción de sangre articulados, giratorios y regulables en altura.</w:t>
        <w:br/>
        <w:t xml:space="preserve">Respaldo regulable +75º mediante resorte de gas, zona de las piernas a -90º mediante articulación manual.</w:t>
        <w:br/>
        <w:t xml:space="preserve">TAPIZADO: tablero de fibras de madera recubierto de espuma de 50 mm. densidad 30 kg. revestido de polipiel ignífuga, antibacteriana.</w:t>
        <w:br/>
        <w:t xml:space="preserve">ESTRUCTURA: tubo de acero acabado epoxi.</w:t>
        <w:br/>
        <w:t xml:space="preserve">Base con 4 niveladores.</w:t>
        <w:br/>
        <w:t xml:space="preserve">Portarrollos y cojín cabezal.</w:t>
        <w:br/>
        <w:t xml:space="preserve">MEDIDAS APROXIMADAS:</w:t>
        <w:br/>
        <w:t xml:space="preserve">Largo 1850, ancho 600, ancho con brazos 777 mm.</w:t>
        <w:br/>
        <w:t xml:space="preserve">Altura regulable (540 a 850 mm.).</w:t>
        <w:br/>
        <w:t xml:space="preserve">Peso máximo soportado aconsejable: 170 kg.</w:t>
        <w:br/>
        <w:t xml:space="preserve">Peso de la camilla: 56 kg.</w:t>
        <w:br/>
        <w:t xml:space="preserve">REGULACION EN ALTURA: mediante motor eléctrico con mando de mano.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6534" w:dyaOrig="3780">
          <v:rect xmlns:o="urn:schemas-microsoft-com:office:office" xmlns:v="urn:schemas-microsoft-com:vml" id="rectole0000000002" style="width:326.700000pt;height:189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