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TECHNISCHE EIGENSCHAFTEN CHI-1790</w:t>
      </w:r>
      <w:r>
        <w:rPr>
          <w:lang w:val="es-ES"/>
        </w:rPr>
        <w:br/>
        <w:t>Einteilige Transferliege.</w:t>
        <w:br/>
        <w:t>Matratze Länge 1900, Breite 600, Höhe 100 mm.</w:t>
        <w:br/>
        <w:t>Matratzenfarbe blau.</w:t>
        <w:br/>
        <w:t>Seitengitter aus epoxidbeschichtetem Stahlrohr.</w:t>
        <w:br/>
        <w:t>4 Räder mit einem Durchmesser von 150 mm, mit Lenkrad.</w:t>
        <w:br/>
        <w:t>IV-Ständer, Kleiderhalter, Sauerstoffflaschenhalter.</w:t>
        <w:br/>
        <w:t>STRUKTUR: Epoxidbeschichtetes Stahlrohr.</w:t>
        <w:br/>
        <w:t>UNGEFÄHR MAßE:</w:t>
        <w:br/>
        <w:t>Länge 2040, Breite 600, Breite mit Seitengittern 738 mm.</w:t>
        <w:br/>
        <w:t>Höhenverstellbar (640 bis 1125 mm).</w:t>
        <w:br/>
        <w:t>Nettogewicht 95 kg.</w:t>
        <w:br/>
        <w:t>Maximal unterstütztes empfohlene Gewicht 170 kg.</w:t>
        <w:br/>
        <w:t>HÖHENVERSTELLUNG: mittels hydraulischer Pumpe.</w:t>
        <w:br/>
        <w:t xml:space="preserve">Garantie auf die Liege 5 Jahre, hydraulische Pumpe 2 Jahre.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1033145</wp:posOffset>
            </wp:positionH>
            <wp:positionV relativeFrom="paragraph">
              <wp:posOffset>408940</wp:posOffset>
            </wp:positionV>
            <wp:extent cx="4791075" cy="235013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35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LibreOffice/7.6.2.1$Windows_X86_64 LibreOffice_project/56f7684011345957bbf33a7ee678afaf4d2ba333</Application>
  <AppVersion>15.0000</AppVersion>
  <Pages>1</Pages>
  <Words>74</Words>
  <Characters>534</Characters>
  <CharactersWithSpaces>608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2024-09-24T10:55:43Z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6EA6BC7069074AB88034F6A6756FE345_12</vt:lpwstr>
  </property>
  <property fmtid="{D5CDD505-2E9C-101B-9397-08002B2CF9AE}" pid="3" name="KSOProductBuildVer">
    <vt:lpwstr>3082-12.2.0.17119</vt:lpwstr>
  </property>
</Properties>
</file>