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CFI-1638, 1637, 1612, 1611</w:t>
      </w:r>
      <w:r>
        <w:rPr>
          <w:lang w:val="es-ES"/>
        </w:rPr>
        <w:br/>
        <w:t>Zweiteilig.</w:t>
        <w:br/>
        <w:t>CFI-1638, CFI-1612 mit Gesichtsöffnung und -verschluss.</w:t>
        <w:br/>
        <w:t>CFI-1637, CFI-1611 ohne Gesichtsöffnung.</w:t>
        <w:br/>
        <w:t>Rückenlehne verstellbar bis +45° durch Stange.</w:t>
        <w:br/>
        <w:t>POLSTERUNG: Holzfaserplatte mit 50 mm Schaumstoff, Dichte 30 kg, bezogen mit flammhemmendem, antibakteriellem Kunstleder.</w:t>
        <w:br/>
        <w:t>STRUKTUR: Edelstahlrohr.</w:t>
        <w:br/>
        <w:t>Papierrollenhalter.</w:t>
        <w:br/>
        <w:t>UNGEFÄHRE ABMESSUNGEN:</w:t>
        <w:br/>
        <w:t>Länge 1850 mm, Breite 600 mm.</w:t>
        <w:br/>
        <w:t>CFI-1638, CFI-1637 feste Höhe, 750 mm.</w:t>
        <w:br/>
        <w:t>CFI-1612, CFI-1611 feste Höhe, 600 mm.</w:t>
        <w:br/>
        <w:t>Maximal tragbares Gewicht: 130 kg.</w:t>
        <w:br/>
        <w:t>Gewicht der Liege: 24 kg.</w:t>
        <w:br/>
        <w:t xml:space="preserve">Garantie auf die Struktur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28575</wp:posOffset>
            </wp:positionV>
            <wp:extent cx="3708400" cy="187261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1</Pages>
  <Words>76</Words>
  <Characters>526</Characters>
  <CharactersWithSpaces>603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2024-09-24T10:34:39Z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