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 xml:space="preserve">TECHNISCHE EIGENSCHAFTEN CEL-1681.1 </w:t>
      </w:r>
      <w:r>
        <w:rPr>
          <w:sz w:val="30"/>
          <w:szCs w:val="30"/>
          <w:lang w:val="es-ES"/>
        </w:rPr>
        <w:t>UND</w:t>
      </w:r>
      <w:r>
        <w:rPr>
          <w:sz w:val="30"/>
          <w:szCs w:val="30"/>
          <w:lang w:val="es-ES"/>
        </w:rPr>
        <w:t xml:space="preserve"> CEL-1681.4 ELEKTRISCH</w:t>
      </w:r>
      <w:r>
        <w:rPr>
          <w:lang w:val="es-ES"/>
        </w:rPr>
        <w:br/>
        <w:t>Zweiteilig.</w:t>
        <w:br/>
        <w:t>CEL-1681.1 mit Gesichtsöffnung und -verschluss.</w:t>
        <w:br/>
        <w:t>CEL-1681.4 ohne Gesichtsöffnung.</w:t>
        <w:br/>
        <w:t>Rückenlehne verstellbar bis +65° durch mechanisches Gelenk, manuell einstellbar.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Papierrollenhalter.</w:t>
        <w:br/>
        <w:t>UNGEFÄHRE ABMESSUNGEN:</w:t>
        <w:br/>
        <w:t>Länge 1930 mm, Breite 680 mm.</w:t>
        <w:br/>
        <w:t>Höhenverstellbar (535 bis 970 mm), gerade Anhebung ohne seitliche Verschiebung.</w:t>
        <w:br/>
        <w:t>Empfohlenes maximales Gewicht: 170 kg.</w:t>
        <w:br/>
        <w:t>Gewicht der Liege: 71 kg.</w:t>
        <w:br/>
        <w:t>HÖHENVERSTELLUNG: durch Elektromotor mit Fußsteuerung.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2414270</wp:posOffset>
            </wp:positionH>
            <wp:positionV relativeFrom="paragraph">
              <wp:posOffset>-11430</wp:posOffset>
            </wp:positionV>
            <wp:extent cx="2936240" cy="249936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104</Words>
  <Characters>759</Characters>
  <CharactersWithSpaces>864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